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62" w:rsidRDefault="00C01062" w:rsidP="00C01062">
      <w:pPr>
        <w:widowControl w:val="0"/>
        <w:ind w:right="-2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  <w:t>АДМИНИСТРАЦИЯ СРЕДНЕТОЙМЕНСКОГО СЕЛЬСКОГО ПОСЕЛЕНИЯ ВЯТСКОПОЛЯНСКОГО РАЙОНА КИРОВСКОЙ ОБЛАСТИ</w:t>
      </w:r>
    </w:p>
    <w:p w:rsidR="00C01062" w:rsidRDefault="00C01062" w:rsidP="00C01062">
      <w:pPr>
        <w:widowControl w:val="0"/>
        <w:ind w:right="-2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>ПОСТАНОВЛЕНИЕ</w:t>
      </w:r>
    </w:p>
    <w:tbl>
      <w:tblPr>
        <w:tblStyle w:val="a4"/>
        <w:tblW w:w="93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520"/>
        <w:gridCol w:w="1136"/>
        <w:gridCol w:w="1276"/>
      </w:tblGrid>
      <w:tr w:rsidR="00C01062" w:rsidTr="00C01062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062" w:rsidRDefault="00C01062">
            <w:pPr>
              <w:widowControl w:val="0"/>
              <w:ind w:right="600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13.08.2024</w:t>
            </w:r>
          </w:p>
        </w:tc>
        <w:tc>
          <w:tcPr>
            <w:tcW w:w="4520" w:type="dxa"/>
          </w:tcPr>
          <w:p w:rsidR="00C01062" w:rsidRDefault="00C01062">
            <w:pPr>
              <w:widowControl w:val="0"/>
              <w:ind w:right="60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  <w:hideMark/>
          </w:tcPr>
          <w:p w:rsidR="00C01062" w:rsidRDefault="00C01062">
            <w:pPr>
              <w:widowControl w:val="0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062" w:rsidRDefault="00C01062">
            <w:pPr>
              <w:widowControl w:val="0"/>
              <w:ind w:right="600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97</w:t>
            </w:r>
          </w:p>
        </w:tc>
      </w:tr>
    </w:tbl>
    <w:p w:rsidR="00C01062" w:rsidRDefault="00C01062" w:rsidP="00C01062">
      <w:pPr>
        <w:widowControl w:val="0"/>
        <w:ind w:right="-2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дер. Нижняя Тойма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Положения об инвентаризационной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комиссии  администрации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Вятскополянского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 Кировской области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01062" w:rsidRDefault="00C01062" w:rsidP="00C01062">
      <w:pPr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Минфина России от 31.12.2016 № 256н, Приложением № 1 к федеральному стандарту бухгалтерского учета для организаций государственного сектора "Учетная политика, оценочные значения и ошибки", утвержденному приказом Минфина России от 30.12.2017 № 274н,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Среднетойменского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сельского поселения ПОСТАНОВЛЯЕТ: </w:t>
      </w:r>
    </w:p>
    <w:p w:rsidR="00C01062" w:rsidRDefault="00C01062" w:rsidP="00C01062">
      <w:pPr>
        <w:pStyle w:val="a3"/>
        <w:numPr>
          <w:ilvl w:val="0"/>
          <w:numId w:val="1"/>
        </w:numPr>
        <w:spacing w:after="0"/>
        <w:ind w:left="0" w:firstLine="77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Утвердить Положение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 инвентаризационной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комиссии  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C01062" w:rsidRDefault="00C01062" w:rsidP="00C01062">
      <w:pPr>
        <w:pStyle w:val="a3"/>
        <w:numPr>
          <w:ilvl w:val="0"/>
          <w:numId w:val="1"/>
        </w:numPr>
        <w:spacing w:after="0"/>
        <w:ind w:left="0" w:firstLine="77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01062" w:rsidRDefault="00C01062" w:rsidP="00C01062">
      <w:pPr>
        <w:pStyle w:val="a3"/>
        <w:numPr>
          <w:ilvl w:val="0"/>
          <w:numId w:val="1"/>
        </w:numPr>
        <w:spacing w:after="0"/>
        <w:ind w:left="0" w:firstLine="7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Контроль за </w:t>
      </w:r>
      <w:r>
        <w:rPr>
          <w:rFonts w:ascii="Times New Roman" w:eastAsia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оставляю за собой.</w:t>
      </w:r>
    </w:p>
    <w:p w:rsidR="00C01062" w:rsidRDefault="00C01062" w:rsidP="00C010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1062" w:rsidRDefault="00C01062" w:rsidP="00C010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Н.А. Перина</w:t>
      </w:r>
    </w:p>
    <w:p w:rsidR="00C01062" w:rsidRDefault="00C01062" w:rsidP="00C01062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C01062" w:rsidTr="00C01062">
        <w:tc>
          <w:tcPr>
            <w:tcW w:w="4927" w:type="dxa"/>
          </w:tcPr>
          <w:p w:rsidR="00C01062" w:rsidRDefault="00C01062">
            <w:pPr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27" w:type="dxa"/>
          </w:tcPr>
          <w:p w:rsidR="00C01062" w:rsidRDefault="00C01062">
            <w:pPr>
              <w:spacing w:before="0" w:beforeAutospacing="0" w:after="0" w:afterAutospacing="0" w:line="23" w:lineRule="atLeast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C01062" w:rsidRDefault="00C01062">
            <w:pPr>
              <w:spacing w:before="0" w:beforeAutospacing="0" w:after="0" w:afterAutospacing="0" w:line="23" w:lineRule="atLeast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01062" w:rsidRDefault="00C01062">
            <w:pPr>
              <w:spacing w:before="0" w:beforeAutospacing="0" w:after="0" w:afterAutospacing="0" w:line="23" w:lineRule="atLeast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постановлением</w:t>
            </w:r>
          </w:p>
          <w:p w:rsidR="00C01062" w:rsidRDefault="00C01062">
            <w:pPr>
              <w:spacing w:before="0" w:beforeAutospacing="0" w:after="0" w:afterAutospacing="0" w:line="23" w:lineRule="atLeast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Среднетойменского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сельского поселения</w:t>
            </w:r>
          </w:p>
          <w:p w:rsidR="00C01062" w:rsidRDefault="00C01062">
            <w:pPr>
              <w:spacing w:before="0" w:beforeAutospacing="0" w:after="0" w:afterAutospacing="0" w:line="23" w:lineRule="atLeast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района </w:t>
            </w:r>
          </w:p>
          <w:p w:rsidR="00C01062" w:rsidRDefault="00C01062">
            <w:pPr>
              <w:spacing w:before="0" w:beforeAutospacing="0" w:after="0" w:afterAutospacing="0" w:line="23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13.08.2024 № 97</w:t>
            </w:r>
          </w:p>
        </w:tc>
      </w:tr>
    </w:tbl>
    <w:p w:rsidR="00C01062" w:rsidRDefault="00C01062" w:rsidP="00C01062">
      <w:pPr>
        <w:spacing w:before="0" w:beforeAutospacing="0" w:after="0" w:afterAutospacing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инвентаризационной комиссии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Вятскополянского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 Кировской области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разработано в соответствии с федеральным стандартом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утвержденным приказом Минфина России от 31.12.2016 № 256н, Приложением № 1 к федеральному стандарту бухгалтерского учета для организаций государственного сектора "Учетная политика, оценочные значения и ошибки", утвержденному приказом Минфина России от 30.12.2017 № 274н (далее - Общие требования к инвентаризации).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2.Инвентаризационная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Среднетойменского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поселения_Вятскополянского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Кировской области (далее – Комиссия) при организации и проведении инвентаризации руководствуется статьей 11 Закона от 06.12.2011 года №402-ФЗ, пунктами 6 и 20 Инструкции к Единому плану счетов № 157н, Федеральным стандартом «Учетная политика, оценочные значения и ошибки», утвержденным приказом Минфина от 30.12.2017 года №274, а также настоящим Положением.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Основные задачи Комиссии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Основными задачами Комиссии являются проведение инвентаризации: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выявление фактического наличия имущества, неучтенных объектов, недостач, порчи имущества;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сопоставление фактического наличия имущества с данными бухгалтерского учета;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выявление признаков обесценения активов;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определение целевой функции актива и статуса объекта учета;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проверка нефинансовых активов и финансовых активов на соответствие критериям актива;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проверка полноты отражения в учете обязательств.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 В ходе проведения инвентаризации активов и обязательств инвентаризационная комиссия дополнительно определяет признаки/устанавливает: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безнадежной к взысканию задолженности;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суммы невостребованной в срок (просроченной и (или) неподтвержденной по результатам инвентаризации) кредиторской задолженности по выплатам расходов (источников финансирования дефицита бюджета, источников финансирования дефицита средств учреждения, далее также источников финансирования дефицита);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суммы переплат доходов (источников финансирования дефицита);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задолженность управления финансов, невостребованную кредиторами;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суммы дебиторской и кредиторской задолженности, подлежащие восстановлению на балансовом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учете в соответствии с действующим законодательством Российской Федерации;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правовые основания (включая даты исполнения) возникновения расчетов.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Состав объектов инвентаризации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3.1. Перечень объектов инвентаризации указывается в Решении о проведении инвентаризации (ф. 0510439) исходя из оснований ее проведения.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3.2. Перечень объектов инвентаризации в случаях обязательного ее проведения и по </w:t>
      </w:r>
      <w:proofErr w:type="gramStart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решению  главы</w:t>
      </w:r>
      <w:proofErr w:type="gramEnd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Среднетойменского</w:t>
      </w:r>
      <w:proofErr w:type="spellEnd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Вятскополянского</w:t>
      </w:r>
      <w:proofErr w:type="spellEnd"/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 района Кировской области (далее – Глава поселения) определяется согласно Порядку проведения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При необходимости проведения инвентаризации в иных случаях проведения инвентаризации, не указанных в Порядке проведения инвентаризации, перечень объектов инвентаризации определяется главой поселения (в случае отсутствия, лицом, его замещающим) в решении о проведении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Состав комиссии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4.1. В состав Комиссии входят: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- председатель комиссии;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- заместитель председателя комиссии;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- иные члены комиссии.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 xml:space="preserve">4.2. Комиссия состоит не менее чем из трех человек.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Комиссии назначается нормативным актом Администрации.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члены комиссии имеют право голоса и принимают решения по итогам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Возглавляет Комиссию председатель комиссии. В полномочия председателя комиссии входит: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общее руководство деятельностью Комиссии;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обеспечение коллегиальности ее работы, в том числе при обсуждении спорных вопросов;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распределение полномочий между членами комиссии; 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определение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назначение заседаний в ходе инвентаризации, в том числе новой даты заседания в пределах срока проведения инвентаризации при отсутствии кворума на заседании комиссии;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принятие итогового решения в качестве определяющего голоса в случае равенства голосов остальных членов комиссии;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осуществление полномочий ответственного лица рабочей группы в случае его отсутствия по уважительной или не зависящей от него причине, возникшей после начала проведения инвентаризации;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взаимодействие с бухгалтерской службой, председателем комиссии по поступлению и выбытию активов, ответственными лицами, иными сотрудниками управления финансов по вопросам, касающимся объектов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комиссии несет персональную ответственность за выполнение возложенных на Комиссию задач.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Заместитель председателя комиссии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лицо, замещающее Председателя комиссии в случае его временного (в течение проведения инвентаризации) отсутствия по уважительной причине (болезнь, отпуск, служебная командировка и т.п.) и осуществляющее полномочия председателя комиссии, перечисленные в пункте 4.3 настоящего Положения.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Секретарь (ответственный исполнитель) – член комиссии, ответственный за оформление документов, подлежащих подписанию членами комиссии (далее - секретарь). Возложение полномочий секретаря комиссии осуществляется по решению председателя комиссии.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В случае, если численность должностных лиц (специалистов) Администрации не позволяет создать инвентаризационную комиссию, то в целях проведения инвентаризации по согласованию с управлением финансов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Вятскополянского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(далее – Управление финансов) в состав комиссии включаются его представители. Представители управления финансов имеют право голоса. 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в состав комиссии может входить привлеченное на добровольных началах лицо, обладающее специальными знаниями и привлекаемое для выражения квалифицированного мнения (далее - Эксперт). Эксперт включается в состав комиссии и является членом комиссии с правом голоса. Экспертом не может быть ответственное лицо (должностное лицо (специалист) Администрации, ответственный за сохранность нефинансовых активов и (или) их использование по назначению) при принятии решения в отношении вверенного ему имущества. В состав комиссии эксперт включается непосредственно решением о проведении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4.7. Лицо, осуществляющее ведение бухгалтерского учета Администрации, обязательно должно быть членом комиссии с правом голоса, при проверке: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денежных средств, иных ценностей, находящихся на счетах и во вкладах или на хранении в кредитной организации, а также электронных денежных средств;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иных финансовых активов и (или) обязательств, принимаемых к бухгалтерскому учету в результате ведения бухгалтерского учета, полномочий по начислению физическим лицам выплат по оплате труда, иных выплат, а также обязательных платежей в бюджеты бюджетной системы Российской Федерации.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включение в состав комиссии бухгалтера, непосредственно осуществляющего ведение бухгалтерского учета в отношении объекта инвентаризации, при отсутствии иных сотрудников бухгалтерии, имеющих возможность принять участие в инвентаризации таких объектов.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возникновении обязанности, согласно действующему законодательству, обеспечить участие бухгалтера в работе комиссии, допускается его введение в состав комиссии непосредственно решением о проведении инвентаризации, в том числе в случае, если бухгалтер включается на период проведения инвентаризации отдельных объектов инвентаризации в постоянно созданную инвентаризационную комиссию, состав которой утвержден отдельным нормативным актом Администрации.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В состав комиссии не включаются: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лица, ответственные за сохранность и целевое использование имущества;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лица, на которых договором возложена полная материальная ответственность;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лица, которые являются ответственными за оформление фактов хозяйственной жизни, связанных непосредственно с объектами инвентаризации, если иное не установлено пунктом 4.7 настоящего Положения.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Изменение состава комиссии допускается до начала проведения инвентаризации. Изменение вносится в решение о проведении инвентаризации путем формирования Изменения решения о проведении инвентаризации (ф. 0510447).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проведения инвентаризации изменение состава комиссии не допускается, в том числе в связи с отсутствием члена комиссии по уважительной или не зависящей от него причине, возникшей после начала проведения инвентаризации (болезнь, отпуск, служебная командировка, смерть, иные объективные причины).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4.10. При большом количестве инвентаризируемых объектов, в том числе при проведении инвентаризации перед составлением годовой отчетности, в случае стихийного бедствия или чрезвычайной ситуации, по решению начальника управления финансов могут быть созданы рабочие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инвентаризационные комиссии, которые руководствуются в своей деятельности настоящим положением. 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полномочия рабочих инвентаризационных комиссий входит непосредственно процедура проведения инвентаризации по объектам, закрепленным за рабочей инвентаризационной комиссией решением о проведении инвентаризации (ф. 0510439), и оформление инвентаризационных описей.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 лицом рабочей инвентаризационной комиссии назначается один из членов комиссии, имеющий право голоса при вынесении решения о результатах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ответственного лица рабочей инвентаризационной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инвентаризационной комиссии возлагаются на Председателя Комиссии.</w:t>
      </w:r>
    </w:p>
    <w:p w:rsidR="00C01062" w:rsidRDefault="00C01062" w:rsidP="00C01062">
      <w:pPr>
        <w:spacing w:before="0" w:beforeAutospacing="0" w:after="0" w:afterAutospacing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Порядок проведения заседаний комиссии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Даты заседания комиссии (проведения инвентаризационных мероприятий способами, определенными председателем комиссии) в период проведения инвентаризации назначаются председателем комиссии (в случае отсутствия председателя комиссии - его заместителем).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членов комиссии в заседании комиссии может быть обеспечено следующими способами: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 обеспечением личного участия;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дистанционно (удаленно) по согласованию с председателем комиссии.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Отсутствие при проведении инвентаризации члена комиссии по причине временной нетрудоспособности, при направлении его в командировку, в иных случаях не является основанием для признания результатов инвентаризации недействительными.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Заседание комиссии считается правомочным если в заседании комиссии приняли участие не менее двух третей от общего числа членов комиссии, имеющих право голоса, и в заседании комиссии принимает участие председатель комиссии и (или) его заместитель.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подсчете кворума присутствия не учитывается участие лиц без права голоса.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При отсутствии кворума на заседании комиссии ее председателем (в случае отсутствия председателя комиссии - его заместителем) назначается новая дата заседания в пределах срока проведения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При невозможности участия в заседании комиссии члены комиссии извещают об этом секретаря комиссии не менее чем за 1 (один) рабочий день до начала заседания (проведения инвентаризационных мероприятий). Если отсутствует секретарь, то такую информацию члены комиссии сообщают председателю комиссии (в случае отсутствия председателя комиссии - его заместителю).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5.6. Коллегиальное решение принимается присутствующими членами комиссии большинством голосов. Если количество принимающих решение (присутствующих) членов комиссии четное и результаты голосования поделились поровну: 50% «за» и 50% «против», то голос председателя комиссии (при отсутствии председателя комиссии - его заместителя) является решающим.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При возникновении рисков отсутствия возможности обеспечить кворум в течение всего периода проведения инвентаризации решение о проведении инвентаризации аннулируется или отменяется в отношении тех объектов, при инвентаризации которых не обеспечен или не будет обеспечен (по оценке председателя комиссии, при отсутствии председателя комиссии - его заместителя) кворум присутствия.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 новое решение о проведении инвентаризации для изменения состава комиссии с утверждением новых сроков ее проведения.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5.8. Дата начала проведения инвентаризации не может наступить раньше даты утверждения главой поселения </w:t>
      </w: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(в случае отсутствия, лицом, его замещающим)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Решения о проведении инвентаризации (ф. 0510439).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 Порядок рассмотрения материалов, представленных в ходе инвентаризации, и подведения итогов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Результаты инвентаризации подлежат обязательному отражению в документах инвентаризации: инвентаризационных описях, сличительных ведомостях, актах о результатах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Документальное оформление результатов проведения инвентаризации осуществляется в соответствии с требованиями приказов Минфина России от 30.03.2015 № 52н, от 15.04.2021 № 61н и графиком документооборота.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заседании комиссия оценивает наличие: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оснований для возмещения недостачи или ущерба;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обязательств, не востребованных в течение срока исковой давности кредитором;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комиссия во время инвентаризации, либо комиссия по поступлению и выбытию активов на основании решения начальника управления финансов;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оснований для обесценения, изменения стоимости объектов.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 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объяснения направляются председателем Комиссии (рабочей инвентаризационной комиссией) главе поселения.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Если по итогам инвентаризации излишки и/или недостачи не выявлены, то в акте о результатах инвентаризации отражается следующее заключение комиссии – «Расхождения не выявлены. Принять результаты инвентаризации: фактическое наличие объектов инвентаризации соответствует данным регистров бухгалтерского учета».</w:t>
      </w:r>
    </w:p>
    <w:p w:rsidR="00C01062" w:rsidRDefault="00C01062" w:rsidP="00C01062">
      <w:pPr>
        <w:spacing w:before="0" w:beforeAutospacing="0" w:after="0" w:afterAutospacing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7. Права Комиссии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Комиссия имеет право: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получать от должностных лиц (специалистов) Администрации документы, необходимые для выполнения Комиссией своих задач;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требовать создания условий, обеспечивающих полную и точную проверку фактического наличия имущества;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опечатать служебные помещения при уходе членов Комиссии, если инвентаризация проводится в течение нескольких дней.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8. Ответственность Комиссии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Комиссия несет ответственность: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 полноту и точность внесения в инвентаризационные описи (сличительные ведомости) данных о фактическом наличии (об остатках) объектов инвентаризации;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 сокрытие выявленных нарушений;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 правильность и своевременность оформления результатов инвентаризации.</w:t>
      </w:r>
    </w:p>
    <w:p w:rsidR="00C01062" w:rsidRDefault="00C01062" w:rsidP="00C01062">
      <w:pPr>
        <w:spacing w:before="0" w:beforeAutospacing="0" w:after="0" w:afterAutospacing="0" w:line="23" w:lineRule="atLeast"/>
        <w:ind w:left="360" w:firstLine="3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9. Заключительные положения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9.1. Если в результате изменения действующего законодательства Российской Федерации отдельные пункты настоящего положения вступят с ним в противоречие, они утрачивают силу, преимущественную силу имеют положения действующего законодательства Российской Федерации.</w:t>
      </w:r>
    </w:p>
    <w:p w:rsidR="00C01062" w:rsidRDefault="00C01062" w:rsidP="00C01062">
      <w:pPr>
        <w:spacing w:before="0" w:beforeAutospacing="0" w:after="0" w:afterAutospacing="0"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9.2. Хранение документов и материалов по результатам инвентаризации осуществляется Администрацией.</w:t>
      </w:r>
    </w:p>
    <w:p w:rsidR="008A0B61" w:rsidRPr="00C01062" w:rsidRDefault="008A0B61">
      <w:pPr>
        <w:rPr>
          <w:lang w:val="ru-RU"/>
        </w:rPr>
      </w:pPr>
    </w:p>
    <w:sectPr w:rsidR="008A0B61" w:rsidRPr="00C0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389B"/>
    <w:multiLevelType w:val="hybridMultilevel"/>
    <w:tmpl w:val="5D4A5794"/>
    <w:lvl w:ilvl="0" w:tplc="A42CB7DE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F6"/>
    <w:rsid w:val="008A0B61"/>
    <w:rsid w:val="00C01062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2732"/>
  <w15:chartTrackingRefBased/>
  <w15:docId w15:val="{CCD96893-7D10-43EA-9CBE-B40CD632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6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62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rsid w:val="00C01062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2024-08-13T10:45:00Z</dcterms:created>
  <dcterms:modified xsi:type="dcterms:W3CDTF">2024-08-13T10:45:00Z</dcterms:modified>
</cp:coreProperties>
</file>